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>Douglas Shawn Kelshaw</w:t>
      </w:r>
    </w:p>
    <w:p>
      <w:pPr>
        <w:pStyle w:val="Body A"/>
      </w:pPr>
      <w:r>
        <w:rPr>
          <w:rtl w:val="0"/>
          <w:lang w:val="en-US"/>
        </w:rPr>
        <w:t xml:space="preserve">Savannah, GA | (303) 269-1421 | </w: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"mailto:shawn@shawnkelshaw.com"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shawn@shawnkelshaw.com</w:t>
      </w:r>
      <w:r>
        <w:rPr/>
        <w:fldChar w:fldCharType="end" w:fldLock="0"/>
      </w:r>
      <w:r>
        <w:rPr>
          <w:rStyle w:val="None"/>
          <w:lang w:val="en-US"/>
        </w:rPr>
        <w:br w:type="textWrapping"/>
      </w:r>
      <w:r>
        <w:rPr>
          <w:rStyle w:val="None"/>
          <w:rtl w:val="0"/>
          <w:lang w:val="nl-NL"/>
        </w:rPr>
        <w:t xml:space="preserve">LinkedIn: </w: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"http://linkedin.com/in/shawnkelshaw"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linkedin.com/in/shawnkelshaw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| Portfolio: </w: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"http://shawnkelshaw.com"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shawnkelshaw.com</w:t>
      </w:r>
      <w:r>
        <w:rPr/>
        <w:fldChar w:fldCharType="end" w:fldLock="0"/>
      </w:r>
    </w:p>
    <w:p>
      <w:pPr>
        <w:pStyle w:val="Heading"/>
      </w:pPr>
      <w:r>
        <w:rPr>
          <w:rStyle w:val="None"/>
          <w:rtl w:val="0"/>
          <w:lang w:val="en-US"/>
        </w:rPr>
        <w:t>Professional Summary</w:t>
      </w:r>
    </w:p>
    <w:p>
      <w:pPr>
        <w:pStyle w:val="Body A"/>
      </w:pPr>
      <w:r>
        <w:rPr>
          <w:rStyle w:val="None"/>
          <w:rtl w:val="0"/>
          <w:lang w:val="en-US"/>
        </w:rPr>
        <w:t>Innovative Sr. Product Designer with 10+ years of experience delivering 0-to-1 product design, enterprise UX, and AI-driven innovation across automotive, financial services, and enterprise technology. Creator of Vehicle Passport, a generative AI-powered mobility platform integrating Bluetooth LE Mesh, geospatial awareness, and predictive analytics to redefine trust in vehicle ownership and lifecycle management. Recognized by industry experts as a technically feasible, globally relevant solution to opacity in the automotive market. Skilled at translating ambiguous, emerging technologies into human-centered, scalable experiences across digital and physical domains.</w:t>
      </w:r>
    </w:p>
    <w:p>
      <w:pPr>
        <w:pStyle w:val="Heading"/>
      </w:pPr>
      <w:r>
        <w:rPr>
          <w:rStyle w:val="None"/>
          <w:rtl w:val="0"/>
          <w:lang w:val="en-US"/>
        </w:rPr>
        <w:t>Selected Projects</w:t>
      </w:r>
    </w:p>
    <w:p>
      <w:pPr>
        <w:pStyle w:val="Heading 2"/>
      </w:pP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🚗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Vehicle Passport / PassKey 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AI-Driven Product Innovation</w:t>
      </w:r>
    </w:p>
    <w:p>
      <w:pPr>
        <w:pStyle w:val="Body A"/>
        <w:rPr>
          <w:rStyle w:val="None"/>
          <w:lang w:val="it-IT"/>
        </w:rPr>
      </w:pPr>
      <w:r>
        <w:rPr>
          <w:rStyle w:val="None"/>
          <w:rtl w:val="0"/>
          <w:lang w:val="en-US"/>
        </w:rPr>
        <w:t xml:space="preserve">Founder Project, 2025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it-IT"/>
        </w:rPr>
        <w:t>Present</w:t>
      </w:r>
    </w:p>
    <w:p>
      <w:pPr>
        <w:pStyle w:val="Body A"/>
        <w:numPr>
          <w:ilvl w:val="0"/>
          <w:numId w:val="2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Designing and developing a digital passport for vehicles addressing service history opacity, mileage tampering, and valuation uncertainty.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Integrating Bluetooth LE Mesh networking to enable secure, peer-to-peer communication and data continuity across 300m+ ranges.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Building generative AI-powered valuation dashboards and intent-matching features for buy/sell/trade interactions.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Prototyping Apple native iOS-26 interfaces using Vibe Coding (Cursor, Windsurf, Claude Sonnet) with Liquid Glass UI.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Applying human-centered design for flows, ethical AI decision points, and lifecycle forecasting.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Validated by AI/ML expert Howard Lee as a globally relevant, technically feasible solution with expansion potential into insurance and finance.</w:t>
      </w:r>
      <w:r>
        <w:rPr>
          <w:rStyle w:val="None"/>
        </w:rPr>
        <w:br w:type="textWrapping"/>
        <w:br w:type="textWrapping"/>
      </w:r>
    </w:p>
    <w:p>
      <w:pPr>
        <w:pStyle w:val="Heading 2"/>
      </w:pP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💼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Ernst &amp; Young (EY) 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Watson AI Conversational Platform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UX Lead, 2022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2023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Led UX for an AI chatbot serving 250,000+ professionals across 150 countries.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Reduced approval workflow from 1 week to 2 days via structured conversational flows.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Managed dual Figma systems inspired by IBM Carbon + Microsoft Fluent 2.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Designed dozens of multi-modal conversational prototypes in VoiceFlow and Axure.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Facilitated Design Thinking workshops to address intent modeling, bias mitigation, and cross-functional adoption.</w:t>
      </w:r>
    </w:p>
    <w:p>
      <w:pPr>
        <w:pStyle w:val="Heading 2"/>
      </w:pP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🏦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Wells Fargo 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Payments &amp; Transfers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UX Architect, 2020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2021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Delivered UX for credit card, payment, and money transfer platforms in highly regulated environments.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Built proof-of-concept responsive solution for ACH transaction management.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Mentored junior designers; led daily design sprints aligning product owners and engineers.</w:t>
      </w:r>
    </w:p>
    <w:p>
      <w:pPr>
        <w:pStyle w:val="Heading 2"/>
      </w:pP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👜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Dooney &amp; Bourke 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Responsive Redesign &amp; Loyalty Strategy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Lead UX Designer, 2015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2019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Spearheaded a three-year responsive redesign for flagship eCommerce properties.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Boosted user acquisition (+1.6%), reduced churn (</w:t>
      </w:r>
      <w:r>
        <w:rPr>
          <w:rStyle w:val="None"/>
          <w:rtl w:val="0"/>
          <w:lang w:val="en-US"/>
        </w:rPr>
        <w:t>–</w:t>
      </w:r>
      <w:r>
        <w:rPr>
          <w:rStyle w:val="None"/>
          <w:rtl w:val="0"/>
          <w:lang w:val="en-US"/>
        </w:rPr>
        <w:t>3%), and lifted conversion (+2%).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Designed browse/shop funnels, registration processes, and loyalty rewards strategy (DooneyPay).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Facilitated cross-functional workshops with stakeholders and offshore engineers.</w:t>
      </w:r>
    </w:p>
    <w:p>
      <w:pPr>
        <w:pStyle w:val="Heading 2"/>
      </w:pP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📱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AT&amp;T 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Enterprise UI Standards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Lead UX Designer, 2017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2018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Defined responsive data interface standards used across millions of monthly user sessions.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Built interactive checkout funnel prototypes tested through formal usability and cognitive walkthroughs.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Established scalable design practices within large-scale enterprise operations.</w:t>
      </w:r>
    </w:p>
    <w:p>
      <w:pPr>
        <w:pStyle w:val="Heading"/>
        <w:rPr>
          <w:lang w:val="es-ES_tradnl"/>
        </w:rPr>
      </w:pPr>
      <w:r>
        <w:rPr>
          <w:rStyle w:val="None"/>
          <w:rtl w:val="0"/>
          <w:lang w:val="es-ES_tradnl"/>
        </w:rPr>
        <w:t>Core Competencies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0-to-1 Product Design &amp; Strategy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AI-Enhanced UX &amp; Conversational Interfaces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Bluetooth LE Mesh &amp; Peer-to-Peer Systems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Human-Centered Research &amp; Usability Testing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Scalable Design Systems &amp; Pattern Libraries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Geospatial / Location-Aware UX Design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Multi-Modal Prototyping (Figma, Axure, Voiceflow, SwiftUI, HTML/CSS/JS)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Cross-Functional Workshop Facilitation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Accessibility &amp; Inclusive Design (WCAG 2.1)</w:t>
      </w:r>
    </w:p>
    <w:p>
      <w:pPr>
        <w:pStyle w:val="Heading"/>
      </w:pPr>
      <w:r>
        <w:rPr>
          <w:rStyle w:val="None"/>
          <w:rtl w:val="0"/>
          <w:lang w:val="en-US"/>
        </w:rPr>
        <w:t>Education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Savannah College of Art &amp; Design (SCAD)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B.A., Illustration | 1999</w:t>
      </w:r>
    </w:p>
    <w:p>
      <w:pPr>
        <w:pStyle w:val="Heading"/>
        <w:rPr>
          <w:lang w:val="fr-FR"/>
        </w:rPr>
      </w:pPr>
      <w:r>
        <w:rPr>
          <w:rStyle w:val="None"/>
          <w:rtl w:val="0"/>
          <w:lang w:val="fr-FR"/>
        </w:rPr>
        <w:t>Certifications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Design Leadership Studio Skills Development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Jesse James Garrett (2024)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Enterprise Design Thinking Practitioner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IBM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Enterprise Design Thinking Team Essentials for AI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IBM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Certified Scrum Product Owner (CSPO)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Scrum Alliance (expired)</w:t>
      </w:r>
    </w:p>
    <w:p>
      <w:pPr>
        <w:pStyle w:val="Heading"/>
      </w:pPr>
      <w:r>
        <w:rPr>
          <w:rStyle w:val="None"/>
          <w:rtl w:val="0"/>
          <w:lang w:val="en-US"/>
        </w:rPr>
        <w:t>Tools &amp; Technologies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Figma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Axure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Adobe Creative Suite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>VoiceFlow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Vibe Coding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Cursor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Windsurf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Claude Sonnet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>Xcode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HTML/CSS/JavaScript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>Git/GitHub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 xml:space="preserve">FigJam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Miro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Jira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 xml:space="preserve">Confluence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>Asana</w:t>
      </w:r>
    </w:p>
    <w:p>
      <w:pPr>
        <w:pStyle w:val="List Bullet"/>
        <w:numPr>
          <w:ilvl w:val="0"/>
          <w:numId w:val="3"/>
        </w:numPr>
        <w:spacing w:after="100"/>
        <w:rPr>
          <w:lang w:val="en-US"/>
        </w:rPr>
      </w:pPr>
      <w:r>
        <w:rPr>
          <w:rStyle w:val="None"/>
          <w:rtl w:val="0"/>
          <w:lang w:val="en-US"/>
        </w:rPr>
        <w:t>AI Tools (ChatGPT, Claude, Perplexity)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·"/>
        <w:lvlJc w:val="left"/>
        <w:pPr>
          <w:tabs>
            <w:tab w:val="clear" w:pos="360"/>
          </w:tabs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17365D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365F91"/>
        </w14:solidFill>
      </w14:textFill>
    </w:rPr>
  </w:style>
  <w:style w:type="paragraph" w:styleId="Heading 2">
    <w:name w:val="Heading 2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4F81BD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